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6B5E60A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22105A">
        <w:rPr>
          <w:rFonts w:asciiTheme="minorBidi" w:hAnsiTheme="minorBidi" w:cs="David" w:hint="cs"/>
          <w:sz w:val="25"/>
          <w:szCs w:val="25"/>
          <w:rtl/>
        </w:rPr>
        <w:t>10 אפריל</w:t>
      </w:r>
      <w:r w:rsidR="005B2EF1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1271FDCD" w:rsidR="00B521CF" w:rsidRPr="00603160" w:rsidRDefault="00144186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A1844">
        <w:rPr>
          <w:rFonts w:asciiTheme="minorBidi" w:hAnsiTheme="minorBidi" w:cs="David" w:hint="cs"/>
          <w:b/>
          <w:bCs/>
          <w:sz w:val="30"/>
          <w:szCs w:val="30"/>
          <w:rtl/>
        </w:rPr>
        <w:t>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77777777" w:rsidR="00B021D5" w:rsidRDefault="00DE196A" w:rsidP="006701C1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חירום, וועדות הערכה וכו'.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התכנית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EEFF2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62D17E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DC9F52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6929E18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C7BCD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56A4277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28B1C9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5DD5435E" w14:textId="0BA42B2B" w:rsidR="009B525C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31E92">
        <w:rPr>
          <w:rFonts w:hint="cs"/>
          <w:b/>
          <w:bCs/>
          <w:sz w:val="24"/>
          <w:szCs w:val="24"/>
          <w:u w:val="single"/>
          <w:rtl/>
        </w:rPr>
        <w:t>14</w:t>
      </w:r>
      <w:r w:rsidR="00C97CF0">
        <w:rPr>
          <w:rFonts w:hint="cs"/>
          <w:b/>
          <w:bCs/>
          <w:sz w:val="24"/>
          <w:szCs w:val="24"/>
          <w:u w:val="single"/>
          <w:rtl/>
        </w:rPr>
        <w:t>.</w:t>
      </w:r>
      <w:r w:rsidR="00E31E92">
        <w:rPr>
          <w:rFonts w:hint="cs"/>
          <w:b/>
          <w:bCs/>
          <w:sz w:val="24"/>
          <w:szCs w:val="24"/>
          <w:u w:val="single"/>
          <w:rtl/>
        </w:rPr>
        <w:t>7</w:t>
      </w:r>
      <w:r w:rsidR="00C97CF0">
        <w:rPr>
          <w:rFonts w:hint="cs"/>
          <w:b/>
          <w:bCs/>
          <w:sz w:val="24"/>
          <w:szCs w:val="24"/>
          <w:u w:val="single"/>
          <w:rtl/>
        </w:rPr>
        <w:t>.24</w:t>
      </w:r>
      <w:r w:rsidR="00C97CF0">
        <w:rPr>
          <w:b/>
          <w:bCs/>
          <w:sz w:val="24"/>
          <w:szCs w:val="24"/>
          <w:u w:val="single"/>
          <w:rtl/>
        </w:rPr>
        <w:t xml:space="preserve"> </w:t>
      </w:r>
      <w:r w:rsidR="00C97CF0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22105A">
        <w:rPr>
          <w:rFonts w:hint="cs"/>
          <w:b/>
          <w:bCs/>
          <w:sz w:val="24"/>
          <w:szCs w:val="24"/>
          <w:u w:val="single"/>
          <w:rtl/>
        </w:rPr>
        <w:t xml:space="preserve"> 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66E0D"/>
    <w:rsid w:val="00471A0E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82406"/>
    <w:rsid w:val="00AA2D32"/>
    <w:rsid w:val="00AE6335"/>
    <w:rsid w:val="00B021D5"/>
    <w:rsid w:val="00B174F7"/>
    <w:rsid w:val="00B365B0"/>
    <w:rsid w:val="00B46EBB"/>
    <w:rsid w:val="00B521CF"/>
    <w:rsid w:val="00B613B9"/>
    <w:rsid w:val="00B83E70"/>
    <w:rsid w:val="00B9531D"/>
    <w:rsid w:val="00BC6A67"/>
    <w:rsid w:val="00C00E24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5&amp;file=&amp;tenderdisplay=2024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12</cp:revision>
  <cp:lastPrinted>2024-06-30T05:17:00Z</cp:lastPrinted>
  <dcterms:created xsi:type="dcterms:W3CDTF">2024-03-31T07:47:00Z</dcterms:created>
  <dcterms:modified xsi:type="dcterms:W3CDTF">2024-06-30T05:17:00Z</dcterms:modified>
</cp:coreProperties>
</file>